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ED34" w14:textId="77777777" w:rsidR="00FA6CED" w:rsidRDefault="00FA6CED">
      <w:pPr>
        <w:rPr>
          <w:b/>
          <w:bCs/>
          <w:u w:val="single"/>
        </w:rPr>
      </w:pPr>
    </w:p>
    <w:p w14:paraId="675562CE" w14:textId="77777777" w:rsidR="00FA6CED" w:rsidRDefault="00FA6CED">
      <w:pPr>
        <w:rPr>
          <w:b/>
          <w:bCs/>
          <w:u w:val="single"/>
        </w:rPr>
      </w:pPr>
    </w:p>
    <w:p w14:paraId="45E3ED29" w14:textId="77777777" w:rsidR="00FA6CED" w:rsidRDefault="00FA6CED">
      <w:pPr>
        <w:rPr>
          <w:b/>
          <w:bCs/>
          <w:u w:val="single"/>
        </w:rPr>
      </w:pPr>
    </w:p>
    <w:p w14:paraId="32907407" w14:textId="51BC7511" w:rsidR="006F615A" w:rsidRPr="006F615A" w:rsidRDefault="006F615A">
      <w:pPr>
        <w:rPr>
          <w:b/>
          <w:bCs/>
          <w:u w:val="single"/>
        </w:rPr>
      </w:pPr>
      <w:r w:rsidRPr="006F615A">
        <w:rPr>
          <w:b/>
          <w:bCs/>
          <w:u w:val="single"/>
        </w:rPr>
        <w:t>ENCUESTA SECCIÓN PATOLOGÍA MAMARIA DE SMGO</w:t>
      </w:r>
    </w:p>
    <w:p w14:paraId="658A4195" w14:textId="2FBA986A" w:rsidR="006F615A" w:rsidRDefault="006F615A" w:rsidP="006F615A">
      <w:r w:rsidRPr="006F615A">
        <w:t xml:space="preserve">El grupo de trabajo de </w:t>
      </w:r>
      <w:r>
        <w:t xml:space="preserve">Patología Mamaria </w:t>
      </w:r>
      <w:r w:rsidRPr="006F615A">
        <w:t xml:space="preserve">de la SGOM ha realizado </w:t>
      </w:r>
      <w:r>
        <w:t xml:space="preserve">en el segundo trimestre del año 2024 </w:t>
      </w:r>
      <w:r w:rsidRPr="006F615A">
        <w:t xml:space="preserve">una encuesta propuesta a los principales centros de Ginecología de la Comunidad de Madrid (CAM) para conocer </w:t>
      </w:r>
      <w:r>
        <w:t xml:space="preserve">los diferentes métodos que estamos empleando </w:t>
      </w:r>
      <w:r w:rsidRPr="006F615A">
        <w:t>en la práctica clínica diaria en nuestros centros para realizar la cirugía guiada en mama y en axila</w:t>
      </w:r>
      <w:r>
        <w:t>.</w:t>
      </w:r>
    </w:p>
    <w:p w14:paraId="5D03624E" w14:textId="7E911B46" w:rsidR="006F615A" w:rsidRPr="006F615A" w:rsidRDefault="006F615A" w:rsidP="006F615A">
      <w:r>
        <w:t>Se envió la encuesta a centros públicos y privados de la CAM</w:t>
      </w:r>
      <w:r w:rsidR="0056111E">
        <w:t>:</w:t>
      </w:r>
    </w:p>
    <w:p w14:paraId="13C4D0A2" w14:textId="257907C7" w:rsidR="006F615A" w:rsidRPr="00FA6CED" w:rsidRDefault="006F615A" w:rsidP="006F615A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 w:rsidRPr="00FA6CED">
        <w:rPr>
          <w:b/>
          <w:bCs/>
          <w:u w:val="single"/>
        </w:rPr>
        <w:t>CENTROS PÚBLICOS</w:t>
      </w:r>
      <w:r w:rsidR="00323A1E" w:rsidRPr="00FA6CED">
        <w:rPr>
          <w:b/>
          <w:bCs/>
          <w:u w:val="single"/>
        </w:rPr>
        <w:t xml:space="preserve"> (26)</w:t>
      </w:r>
    </w:p>
    <w:p w14:paraId="7F7E20B8" w14:textId="610759A0" w:rsidR="006F615A" w:rsidRPr="006F615A" w:rsidRDefault="006F615A" w:rsidP="006F615A">
      <w:r w:rsidRPr="006F615A">
        <w:t>HOSPITAL UNIVERSITARIO INFANTA SOFÍA</w:t>
      </w:r>
    </w:p>
    <w:p w14:paraId="24BA3DFD" w14:textId="76212691" w:rsidR="006F615A" w:rsidRPr="006F615A" w:rsidRDefault="006F615A" w:rsidP="006F615A">
      <w:r w:rsidRPr="006F615A">
        <w:t>HOSPITAL UNIVERSITARIO PRINCIPE DE ASTURIAS</w:t>
      </w:r>
    </w:p>
    <w:p w14:paraId="17E8D23A" w14:textId="70D17399" w:rsidR="006F615A" w:rsidRPr="006F615A" w:rsidRDefault="006F615A" w:rsidP="006F615A">
      <w:r w:rsidRPr="006F615A">
        <w:t xml:space="preserve">HOSPITAL UNIVERSITARIO FUNDACIÓN JIMÉNEZ DÍAZ </w:t>
      </w:r>
    </w:p>
    <w:p w14:paraId="7861C253" w14:textId="6048002B" w:rsidR="006F615A" w:rsidRPr="006F615A" w:rsidRDefault="006F615A" w:rsidP="006F615A">
      <w:r w:rsidRPr="006F615A">
        <w:t>HOSPITAL UNIVERSITARIO 12 DE OCTUBRE</w:t>
      </w:r>
    </w:p>
    <w:p w14:paraId="5968F392" w14:textId="327324C3" w:rsidR="006F615A" w:rsidRPr="006F615A" w:rsidRDefault="006F615A" w:rsidP="006F615A">
      <w:r w:rsidRPr="006F615A">
        <w:t>HOSPITAL UNIVERSITARIO LA PA</w:t>
      </w:r>
      <w:r>
        <w:t>Z</w:t>
      </w:r>
    </w:p>
    <w:p w14:paraId="2A5506FA" w14:textId="10F7B0B3" w:rsidR="006F615A" w:rsidRPr="006F615A" w:rsidRDefault="006F615A" w:rsidP="006F615A">
      <w:r w:rsidRPr="006F615A">
        <w:t>HOSPITAL UNIVERSITARIO RAMÓN Y CAJAL</w:t>
      </w:r>
    </w:p>
    <w:p w14:paraId="1AF95D9E" w14:textId="0CAD47CC" w:rsidR="006F615A" w:rsidRPr="006F615A" w:rsidRDefault="006F615A" w:rsidP="006F615A">
      <w:r w:rsidRPr="006F615A">
        <w:t>UNIDAD DE PATOLOGÍA MAMARIA HOSPITAL CLÍNICO SAN CARLOS</w:t>
      </w:r>
    </w:p>
    <w:p w14:paraId="6B894419" w14:textId="77777777" w:rsidR="006F615A" w:rsidRPr="006F615A" w:rsidRDefault="006F615A" w:rsidP="006F615A">
      <w:r w:rsidRPr="006F615A">
        <w:t>HOSPITAL FUNDACIÓN ALCORCÓN </w:t>
      </w:r>
    </w:p>
    <w:p w14:paraId="0C065AC9" w14:textId="77777777" w:rsidR="006F615A" w:rsidRPr="006F615A" w:rsidRDefault="006F615A" w:rsidP="006F615A">
      <w:r w:rsidRPr="006F615A">
        <w:t>HOSPITAL UNIVERSITARIO FUENLABRADA </w:t>
      </w:r>
    </w:p>
    <w:p w14:paraId="6AD5937B" w14:textId="0EF29CC1" w:rsidR="006F615A" w:rsidRPr="006F615A" w:rsidRDefault="006F615A" w:rsidP="006F615A">
      <w:r w:rsidRPr="006F615A">
        <w:t>HOSPITAL UNIVERSITARIO SEVERO OCHOA LEGANÉS </w:t>
      </w:r>
    </w:p>
    <w:p w14:paraId="1E87B3F2" w14:textId="77777777" w:rsidR="006F615A" w:rsidRPr="006F615A" w:rsidRDefault="006F615A" w:rsidP="006F615A">
      <w:r w:rsidRPr="006F615A">
        <w:t>HOSPITAL UNIVERSITARIO GETAFE</w:t>
      </w:r>
    </w:p>
    <w:p w14:paraId="570F11DF" w14:textId="77777777" w:rsidR="006F615A" w:rsidRPr="006F615A" w:rsidRDefault="006F615A" w:rsidP="006F615A">
      <w:r w:rsidRPr="006F615A">
        <w:t>HOSPITAL UNIVERSITARIO DE MÓSTOLES </w:t>
      </w:r>
    </w:p>
    <w:p w14:paraId="782D725F" w14:textId="28E7DD7D" w:rsidR="006F615A" w:rsidRPr="006F615A" w:rsidRDefault="006F615A" w:rsidP="006F615A">
      <w:r w:rsidRPr="006F615A">
        <w:t>HOSPITAL UNIVERSITARIO REY JUAN CAR</w:t>
      </w:r>
      <w:r>
        <w:t>LOS</w:t>
      </w:r>
    </w:p>
    <w:p w14:paraId="0289A8F7" w14:textId="14FF207C" w:rsidR="006F615A" w:rsidRPr="006F615A" w:rsidRDefault="006F615A" w:rsidP="006F615A">
      <w:r w:rsidRPr="006F615A">
        <w:t>HOSPITAL UNIVERSITARIO INFANTA ELENA VALDEMOR</w:t>
      </w:r>
      <w:r>
        <w:t>O</w:t>
      </w:r>
    </w:p>
    <w:p w14:paraId="7623C858" w14:textId="269D36B1" w:rsidR="006F615A" w:rsidRPr="006F615A" w:rsidRDefault="006F615A" w:rsidP="006F615A">
      <w:r w:rsidRPr="006F615A">
        <w:t>HOSPITAL UNIVERSITARIO INFANTA CRISTINA PARLA </w:t>
      </w:r>
    </w:p>
    <w:p w14:paraId="55C9D626" w14:textId="77777777" w:rsidR="006F615A" w:rsidRPr="006F615A" w:rsidRDefault="006F615A" w:rsidP="006F615A">
      <w:r w:rsidRPr="006F615A">
        <w:t>HOSPITAL UNIVERSITARIO PUERTA DE HIERRO </w:t>
      </w:r>
    </w:p>
    <w:p w14:paraId="3B295C3A" w14:textId="77777777" w:rsidR="006F615A" w:rsidRPr="006F615A" w:rsidRDefault="006F615A" w:rsidP="006F615A">
      <w:r w:rsidRPr="006F615A">
        <w:t>HOSPITAL GENERAL DE VILLALBA </w:t>
      </w:r>
    </w:p>
    <w:p w14:paraId="3CC3F08A" w14:textId="77777777" w:rsidR="006F615A" w:rsidRPr="006F615A" w:rsidRDefault="006F615A" w:rsidP="006F615A">
      <w:r w:rsidRPr="006F615A">
        <w:t>HOSPITAL UNIVERSITARIO GREGORIO MARAÑON </w:t>
      </w:r>
    </w:p>
    <w:p w14:paraId="43EFC54F" w14:textId="77777777" w:rsidR="006F615A" w:rsidRPr="006F615A" w:rsidRDefault="006F615A" w:rsidP="006F615A">
      <w:r w:rsidRPr="006F615A">
        <w:t>HOSPITAL UNIVERSITARIO INFANTA LEONOR VALLECAS </w:t>
      </w:r>
    </w:p>
    <w:p w14:paraId="6071461B" w14:textId="77777777" w:rsidR="006F615A" w:rsidRPr="006F615A" w:rsidRDefault="006F615A" w:rsidP="006F615A">
      <w:r w:rsidRPr="006F615A">
        <w:t>HOSPITAL UNIVERSITARIO DEL SURESTE ARGANDA </w:t>
      </w:r>
    </w:p>
    <w:p w14:paraId="749B74EA" w14:textId="3F9EA266" w:rsidR="006F615A" w:rsidRPr="006F615A" w:rsidRDefault="006F615A" w:rsidP="006F615A">
      <w:r w:rsidRPr="006F615A">
        <w:t>HOSPITAL UNIVERSITARIO TORREJON DE ARDOZ</w:t>
      </w:r>
    </w:p>
    <w:p w14:paraId="0AE11F8F" w14:textId="77777777" w:rsidR="006F615A" w:rsidRPr="006F615A" w:rsidRDefault="006F615A" w:rsidP="006F615A">
      <w:r w:rsidRPr="006F615A">
        <w:t>HOSPITAL DEL HENARES COSLADA </w:t>
      </w:r>
    </w:p>
    <w:p w14:paraId="77F8FB9B" w14:textId="77777777" w:rsidR="0056111E" w:rsidRDefault="0056111E" w:rsidP="006F615A"/>
    <w:p w14:paraId="203E9D83" w14:textId="77777777" w:rsidR="0056111E" w:rsidRDefault="0056111E" w:rsidP="006F615A"/>
    <w:p w14:paraId="732D84F0" w14:textId="77777777" w:rsidR="0056111E" w:rsidRDefault="0056111E" w:rsidP="006F615A"/>
    <w:p w14:paraId="79846FD0" w14:textId="1D2D6FFA" w:rsidR="006F615A" w:rsidRPr="006F615A" w:rsidRDefault="006F615A" w:rsidP="006F615A">
      <w:r w:rsidRPr="006F615A">
        <w:t>HOSPITAL UNIVERSITARIO LA PRINCESA</w:t>
      </w:r>
    </w:p>
    <w:p w14:paraId="68C2679C" w14:textId="77777777" w:rsidR="006F615A" w:rsidRPr="006F615A" w:rsidRDefault="006F615A" w:rsidP="006F615A">
      <w:r w:rsidRPr="006F615A">
        <w:t>HOSPITAL UNIVESITARIO DEL TAJO</w:t>
      </w:r>
    </w:p>
    <w:p w14:paraId="050DBEFE" w14:textId="77777777" w:rsidR="006F615A" w:rsidRPr="006F615A" w:rsidRDefault="006F615A" w:rsidP="006F615A">
      <w:r w:rsidRPr="006F615A">
        <w:t>HOSPITAL CENTRAL DE LA CRUZ ROJA</w:t>
      </w:r>
    </w:p>
    <w:p w14:paraId="7B64B84A" w14:textId="77777777" w:rsidR="006F615A" w:rsidRDefault="006F615A" w:rsidP="006F615A">
      <w:r w:rsidRPr="006F615A">
        <w:t>HOSPITAL EL ESCORIAL</w:t>
      </w:r>
    </w:p>
    <w:p w14:paraId="46031B66" w14:textId="735CB1D7" w:rsidR="006F615A" w:rsidRPr="00FA6CED" w:rsidRDefault="006F615A" w:rsidP="006F615A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 w:rsidRPr="00FA6CED">
        <w:rPr>
          <w:b/>
          <w:bCs/>
          <w:u w:val="single"/>
        </w:rPr>
        <w:t>CENTROS PRIVADOS</w:t>
      </w:r>
      <w:r w:rsidR="00323A1E" w:rsidRPr="00FA6CED">
        <w:rPr>
          <w:b/>
          <w:bCs/>
          <w:u w:val="single"/>
        </w:rPr>
        <w:t xml:space="preserve"> (7)</w:t>
      </w:r>
    </w:p>
    <w:p w14:paraId="498FD16A" w14:textId="01A9DBD7" w:rsidR="006F615A" w:rsidRDefault="006F615A" w:rsidP="006F615A">
      <w:r w:rsidRPr="006F615A">
        <w:t>HOSPITAL UNIVERSITARIO HM SANCHINARRO</w:t>
      </w:r>
    </w:p>
    <w:p w14:paraId="53D8F8B5" w14:textId="77777777" w:rsidR="006F615A" w:rsidRDefault="006F615A" w:rsidP="006F615A">
      <w:r w:rsidRPr="006F615A">
        <w:t>HOSPITAL UNIVERSITARIO HM PUERTA DEL SUR</w:t>
      </w:r>
    </w:p>
    <w:p w14:paraId="749E7F14" w14:textId="2FEA8ABB" w:rsidR="006F615A" w:rsidRDefault="006F615A" w:rsidP="006F615A">
      <w:r w:rsidRPr="006F615A">
        <w:t>HOSPITAL UNIVERSITARIO HM MONTEPRINCIPE</w:t>
      </w:r>
    </w:p>
    <w:p w14:paraId="7FCA7DE3" w14:textId="604FE8B0" w:rsidR="006F615A" w:rsidRPr="006F615A" w:rsidRDefault="006F615A" w:rsidP="006F615A">
      <w:r w:rsidRPr="006F615A">
        <w:t>HOSPITAL UNIVERSITARIO SANITAS LA MORALEJA </w:t>
      </w:r>
    </w:p>
    <w:p w14:paraId="164C735D" w14:textId="45CA0A40" w:rsidR="006F615A" w:rsidRPr="006F615A" w:rsidRDefault="006F615A" w:rsidP="006F615A">
      <w:r w:rsidRPr="006F615A">
        <w:t>HOSPITAL UNIVERSITARIO SANITAS LA ZARZUELA</w:t>
      </w:r>
    </w:p>
    <w:p w14:paraId="6B748058" w14:textId="6C99CAE9" w:rsidR="006F615A" w:rsidRDefault="006F615A" w:rsidP="006F615A">
      <w:r w:rsidRPr="006F615A">
        <w:rPr>
          <w:lang w:val="en-US"/>
        </w:rPr>
        <w:t xml:space="preserve">HOSPITAL RUBER JUAN BRAVO </w:t>
      </w:r>
    </w:p>
    <w:p w14:paraId="2B4D36B3" w14:textId="0FA29681" w:rsidR="006F615A" w:rsidRDefault="006F615A" w:rsidP="006F615A">
      <w:r w:rsidRPr="006F615A">
        <w:t>HOSPITAL RUBER INTERNACIONAL </w:t>
      </w:r>
    </w:p>
    <w:p w14:paraId="43696C83" w14:textId="77777777" w:rsidR="00323A1E" w:rsidRDefault="00323A1E" w:rsidP="006F615A"/>
    <w:p w14:paraId="21234C50" w14:textId="2627EA7F" w:rsidR="00323A1E" w:rsidRDefault="00323A1E" w:rsidP="006F615A">
      <w:r>
        <w:t>De los 33 centros contactados, solo respondieron a la encuesta 15 centros,</w:t>
      </w:r>
      <w:r w:rsidR="00697F77">
        <w:t xml:space="preserve"> el 45% de los contactados, </w:t>
      </w:r>
      <w:r>
        <w:t xml:space="preserve"> todos </w:t>
      </w:r>
      <w:r w:rsidR="00697F77">
        <w:t xml:space="preserve">los centros corresponden a centros </w:t>
      </w:r>
      <w:r>
        <w:t>público</w:t>
      </w:r>
      <w:r w:rsidR="00697F77">
        <w:t>s</w:t>
      </w:r>
      <w:r>
        <w:t>.</w:t>
      </w:r>
    </w:p>
    <w:p w14:paraId="0EB237D3" w14:textId="77777777" w:rsidR="00323A1E" w:rsidRDefault="00323A1E" w:rsidP="006F615A"/>
    <w:p w14:paraId="12D8E14C" w14:textId="69AEF6B9" w:rsidR="00323A1E" w:rsidRPr="00FA6CED" w:rsidRDefault="00323A1E" w:rsidP="006F615A">
      <w:pPr>
        <w:rPr>
          <w:b/>
          <w:bCs/>
          <w:u w:val="single"/>
        </w:rPr>
      </w:pPr>
      <w:r w:rsidRPr="00FA6CED">
        <w:rPr>
          <w:b/>
          <w:bCs/>
          <w:u w:val="single"/>
        </w:rPr>
        <w:t>RESULTADOS ENCUESTA</w:t>
      </w:r>
    </w:p>
    <w:p w14:paraId="5110111C" w14:textId="670AB4CA" w:rsidR="00323A1E" w:rsidRPr="006F615A" w:rsidRDefault="00323A1E" w:rsidP="006F615A">
      <w:r>
        <w:rPr>
          <w:noProof/>
        </w:rPr>
        <w:drawing>
          <wp:inline distT="0" distB="0" distL="0" distR="0" wp14:anchorId="0F429C63" wp14:editId="59C3B5DB">
            <wp:extent cx="5667790" cy="2876550"/>
            <wp:effectExtent l="0" t="0" r="9525" b="0"/>
            <wp:docPr id="1377111763" name="Imagen 1" descr="Gráfico de respuestas de formularios. Título de la pregunta: ¿Cómo localizan las lesiones mamarias no palpables de forma mayoritaria? Pueden contestar más de una opción.. Número de respuestas: 15 respue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o de respuestas de formularios. Título de la pregunta: ¿Cómo localizan las lesiones mamarias no palpables de forma mayoritaria? Pueden contestar más de una opción.. Número de respuestas: 15 respuest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536" cy="287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856BF" w14:textId="77777777" w:rsidR="006F615A" w:rsidRPr="006F615A" w:rsidRDefault="006F615A" w:rsidP="006F615A">
      <w:pPr>
        <w:pStyle w:val="Prrafodelista"/>
      </w:pPr>
    </w:p>
    <w:p w14:paraId="210270C6" w14:textId="39BFE403" w:rsidR="006F615A" w:rsidRDefault="00323A1E">
      <w:r>
        <w:rPr>
          <w:noProof/>
        </w:rPr>
        <w:drawing>
          <wp:inline distT="0" distB="0" distL="0" distR="0" wp14:anchorId="2BC8F39C" wp14:editId="5EFAE22D">
            <wp:extent cx="5400040" cy="2740660"/>
            <wp:effectExtent l="0" t="0" r="0" b="2540"/>
            <wp:docPr id="2082060362" name="Imagen 2" descr="Gráfico de respuestas de formularios. Título de la pregunta: En caso de empleo de semillas, ¿Cuál tienen disponible en vuestro centro? Pueden contestar más de una opción. Número de respuestas: 13 respue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áfico de respuestas de formularios. Título de la pregunta: En caso de empleo de semillas, ¿Cuál tienen disponible en vuestro centro? Pueden contestar más de una opción. Número de respuestas: 13 respuest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82727" w14:textId="77777777" w:rsidR="00323A1E" w:rsidRDefault="00323A1E"/>
    <w:p w14:paraId="6978EBCC" w14:textId="77777777" w:rsidR="00323A1E" w:rsidRDefault="00323A1E">
      <w:r w:rsidRPr="00323A1E">
        <w:t>En caso de tener varias semillas disponibles, ¿cuál es su preferida y cuáles son sus motivos?</w:t>
      </w:r>
    </w:p>
    <w:p w14:paraId="39EDF235" w14:textId="1DE8079E" w:rsidR="00323A1E" w:rsidRDefault="00323A1E">
      <w:r w:rsidRPr="00323A1E">
        <w:t>9 respuestas</w:t>
      </w:r>
    </w:p>
    <w:p w14:paraId="4B885739" w14:textId="2953D779" w:rsidR="00FA6CED" w:rsidRDefault="002B53CE">
      <w:r w:rsidRPr="002B53CE">
        <w:drawing>
          <wp:inline distT="0" distB="0" distL="0" distR="0" wp14:anchorId="107E009F" wp14:editId="4CEA8810">
            <wp:extent cx="4544687" cy="3551123"/>
            <wp:effectExtent l="0" t="0" r="8890" b="11430"/>
            <wp:docPr id="153571277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C4AF172-B269-A599-CF61-3587329389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34489D" w14:textId="77777777" w:rsidR="00770901" w:rsidRDefault="00770901"/>
    <w:p w14:paraId="7204B06C" w14:textId="5EC1813A" w:rsidR="00A8476D" w:rsidRDefault="00770901">
      <w:r>
        <w:t>La semilla más empleada según las encuestas recibidas fue la Savi Scout.</w:t>
      </w:r>
      <w:r w:rsidR="00132639">
        <w:t xml:space="preserve"> Las </w:t>
      </w:r>
      <w:r w:rsidR="00C327B0">
        <w:t>principales</w:t>
      </w:r>
      <w:r w:rsidR="00132639">
        <w:t xml:space="preserve"> ventajas que destacaron fueron su precisión y versatilidad, así como su fácil manejo. Ade</w:t>
      </w:r>
      <w:r w:rsidR="00C327B0">
        <w:t xml:space="preserve">más, el hecho de que no produzca artefacto en las imágenes de la RMN se ve como un punto positivo </w:t>
      </w:r>
      <w:r w:rsidR="00A8476D">
        <w:t>de cara a valorar imágenes postneoadyuvancia.</w:t>
      </w:r>
    </w:p>
    <w:p w14:paraId="7100B5FD" w14:textId="77777777" w:rsidR="009B3FE3" w:rsidRDefault="00763922">
      <w:r>
        <w:t xml:space="preserve">Las semilla ferromagnética y la radiactiva </w:t>
      </w:r>
      <w:r w:rsidR="009B3FE3">
        <w:t>ocupan la segunda y tercera posición.</w:t>
      </w:r>
    </w:p>
    <w:p w14:paraId="291F7F7C" w14:textId="0C854DA7" w:rsidR="00A8476D" w:rsidRDefault="00A8476D">
      <w:r>
        <w:t>Entre las ventajas de la semilla magnética Magseed se encontraron su tamaño</w:t>
      </w:r>
      <w:r w:rsidR="00230F76">
        <w:t xml:space="preserve">, el hecho de que no tenga límite de tiempo de implantación y la no migración dada su forma en espiral. Mientras que unos centras destacan su fácil manejo, en otros </w:t>
      </w:r>
      <w:r w:rsidR="00105024">
        <w:t xml:space="preserve">refieren incomodidad en el hecho de necesidad de cambio de material quirúrgico (plástico en lugar de metal). </w:t>
      </w:r>
    </w:p>
    <w:p w14:paraId="6A2CEECC" w14:textId="472D8338" w:rsidR="00105024" w:rsidRDefault="00105024">
      <w:r>
        <w:t>E</w:t>
      </w:r>
      <w:r w:rsidR="00763922">
        <w:t>n cuanto a las semillas de I125</w:t>
      </w:r>
      <w:r w:rsidR="009B3FE3">
        <w:t xml:space="preserve">, los participantes refieren como ventajas el </w:t>
      </w:r>
      <w:r w:rsidR="003A6520">
        <w:t>no interferir con el material quirúrgico, la no movilidad de la misma y la sonda de localización estrecha.</w:t>
      </w:r>
    </w:p>
    <w:p w14:paraId="3C6CFC27" w14:textId="77777777" w:rsidR="00770901" w:rsidRDefault="00770901"/>
    <w:p w14:paraId="773E2CBD" w14:textId="3C123F6E" w:rsidR="00FA6CED" w:rsidRDefault="00FA6CED">
      <w:r w:rsidRPr="00FA6CED">
        <w:t>En pacientes N+ candidatas a TSP, ¿cómo realizan el marcaje axilar previo?</w:t>
      </w:r>
    </w:p>
    <w:p w14:paraId="7E540C09" w14:textId="7E46A53E" w:rsidR="00FA6CED" w:rsidRDefault="00FA6CED">
      <w:r w:rsidRPr="00FA6CED">
        <w:t>15 respuestas</w:t>
      </w:r>
    </w:p>
    <w:p w14:paraId="728FE9B9" w14:textId="4B1C0690" w:rsidR="00FA6CED" w:rsidRDefault="007E0707">
      <w:r w:rsidRPr="007E0707">
        <w:drawing>
          <wp:inline distT="0" distB="0" distL="0" distR="0" wp14:anchorId="0D349CD4" wp14:editId="367134AD">
            <wp:extent cx="4544687" cy="3551123"/>
            <wp:effectExtent l="0" t="0" r="8890" b="11430"/>
            <wp:docPr id="3762789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26CBD91-76D8-3B6C-8D76-778906BB47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FA6CED" w:rsidSect="00FA6CED">
      <w:headerReference w:type="default" r:id="rId11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D2563" w14:textId="77777777" w:rsidR="00FA6CED" w:rsidRDefault="00FA6CED" w:rsidP="00FA6CED">
      <w:pPr>
        <w:spacing w:after="0" w:line="240" w:lineRule="auto"/>
      </w:pPr>
      <w:r>
        <w:separator/>
      </w:r>
    </w:p>
  </w:endnote>
  <w:endnote w:type="continuationSeparator" w:id="0">
    <w:p w14:paraId="6CF6F9B9" w14:textId="77777777" w:rsidR="00FA6CED" w:rsidRDefault="00FA6CED" w:rsidP="00FA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FD8AE" w14:textId="77777777" w:rsidR="00FA6CED" w:rsidRDefault="00FA6CED" w:rsidP="00FA6CED">
      <w:pPr>
        <w:spacing w:after="0" w:line="240" w:lineRule="auto"/>
      </w:pPr>
      <w:r>
        <w:separator/>
      </w:r>
    </w:p>
  </w:footnote>
  <w:footnote w:type="continuationSeparator" w:id="0">
    <w:p w14:paraId="2CB4C415" w14:textId="77777777" w:rsidR="00FA6CED" w:rsidRDefault="00FA6CED" w:rsidP="00FA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BE680" w14:textId="0F78D18F" w:rsidR="00FA6CED" w:rsidRPr="00FA6CED" w:rsidRDefault="00FA6CED">
    <w:pPr>
      <w:pStyle w:val="Encabezado"/>
      <w:rPr>
        <w:b/>
        <w:bCs/>
      </w:rPr>
    </w:pPr>
    <w:r w:rsidRPr="00FA6CED">
      <w:rPr>
        <w:noProof/>
      </w:rPr>
      <w:drawing>
        <wp:anchor distT="0" distB="0" distL="114300" distR="114300" simplePos="0" relativeHeight="251658240" behindDoc="0" locked="0" layoutInCell="1" allowOverlap="1" wp14:anchorId="2DABF255" wp14:editId="605E1296">
          <wp:simplePos x="0" y="0"/>
          <wp:positionH relativeFrom="column">
            <wp:posOffset>-191135</wp:posOffset>
          </wp:positionH>
          <wp:positionV relativeFrom="paragraph">
            <wp:posOffset>-24130</wp:posOffset>
          </wp:positionV>
          <wp:extent cx="2410161" cy="1105054"/>
          <wp:effectExtent l="0" t="0" r="9525" b="0"/>
          <wp:wrapSquare wrapText="bothSides"/>
          <wp:docPr id="1387991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918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161" cy="1105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 xml:space="preserve">     </w:t>
    </w:r>
    <w:r w:rsidRPr="00FA6CED">
      <w:rPr>
        <w:b/>
        <w:bCs/>
      </w:rPr>
      <w:t>GRUPO DE TRABAJO DE PATOLOGÍA DE LA</w:t>
    </w:r>
    <w:r>
      <w:rPr>
        <w:b/>
        <w:bCs/>
      </w:rPr>
      <w:t xml:space="preserve"> </w:t>
    </w:r>
    <w:r w:rsidRPr="00FA6CED">
      <w:rPr>
        <w:b/>
        <w:bCs/>
      </w:rPr>
      <w:t>MAMA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22302"/>
    <w:multiLevelType w:val="hybridMultilevel"/>
    <w:tmpl w:val="36DCE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35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A"/>
    <w:rsid w:val="00105024"/>
    <w:rsid w:val="00132639"/>
    <w:rsid w:val="00181129"/>
    <w:rsid w:val="00230F76"/>
    <w:rsid w:val="002B53CE"/>
    <w:rsid w:val="00323A1E"/>
    <w:rsid w:val="003A6520"/>
    <w:rsid w:val="00443688"/>
    <w:rsid w:val="0056111E"/>
    <w:rsid w:val="005E1FBF"/>
    <w:rsid w:val="00697F77"/>
    <w:rsid w:val="006F615A"/>
    <w:rsid w:val="00763922"/>
    <w:rsid w:val="00770901"/>
    <w:rsid w:val="007E0707"/>
    <w:rsid w:val="009B3FE3"/>
    <w:rsid w:val="00A6476A"/>
    <w:rsid w:val="00A8476D"/>
    <w:rsid w:val="00C327B0"/>
    <w:rsid w:val="00DE73BE"/>
    <w:rsid w:val="00E32F47"/>
    <w:rsid w:val="00F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A6662"/>
  <w15:chartTrackingRefBased/>
  <w15:docId w15:val="{5FD10CC6-CCF6-4906-B473-2E6D2A26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1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615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F61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6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CED"/>
  </w:style>
  <w:style w:type="paragraph" w:styleId="Piedepgina">
    <w:name w:val="footer"/>
    <w:basedOn w:val="Normal"/>
    <w:link w:val="PiedepginaCar"/>
    <w:uiPriority w:val="99"/>
    <w:unhideWhenUsed/>
    <w:rsid w:val="00FA6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6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6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4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2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2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1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4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8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0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1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8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0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0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9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3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A0-48DB-B00D-93A0A469E016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A0-48DB-B00D-93A0A469E016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1A0-48DB-B00D-93A0A469E01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1A0-48DB-B00D-93A0A469E0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SCOUT</c:v>
                </c:pt>
                <c:pt idx="1">
                  <c:v>MAGSEED</c:v>
                </c:pt>
                <c:pt idx="2">
                  <c:v>IODO</c:v>
                </c:pt>
                <c:pt idx="3">
                  <c:v>SIRIUS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1A0-48DB-B00D-93A0A469E01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5DF-4F43-AE5F-F5BB4938E33F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5DF-4F43-AE5F-F5BB4938E33F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5DF-4F43-AE5F-F5BB4938E33F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5DF-4F43-AE5F-F5BB4938E3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MAGSEED</c:v>
                </c:pt>
                <c:pt idx="1">
                  <c:v>SCOUT</c:v>
                </c:pt>
                <c:pt idx="2">
                  <c:v>IODO</c:v>
                </c:pt>
                <c:pt idx="3">
                  <c:v>SIRIUS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5DF-4F43-AE5F-F5BB4938E33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08179089120989"/>
          <c:y val="0.31703604747005382"/>
          <c:w val="0.20241525984077671"/>
          <c:h val="0.31228290318302127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64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2128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Garcia  Chapinal</dc:creator>
  <cp:keywords/>
  <dc:description/>
  <cp:lastModifiedBy>Beatriz Garcia  Chapinal</cp:lastModifiedBy>
  <cp:revision>12</cp:revision>
  <dcterms:created xsi:type="dcterms:W3CDTF">2024-11-03T09:23:00Z</dcterms:created>
  <dcterms:modified xsi:type="dcterms:W3CDTF">2024-11-12T23:30:00Z</dcterms:modified>
</cp:coreProperties>
</file>